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C8" w:rsidRPr="009F4A83" w:rsidRDefault="00392C5B">
      <w:pPr>
        <w:spacing w:line="276" w:lineRule="auto"/>
        <w:jc w:val="both"/>
        <w:rPr>
          <w:b/>
          <w:bCs/>
          <w:i/>
        </w:rPr>
      </w:pPr>
      <w:r w:rsidRPr="009F4A83">
        <w:rPr>
          <w:b/>
          <w:bCs/>
          <w:i/>
        </w:rPr>
        <w:t>Cittadinanza temporanea</w:t>
      </w:r>
      <w:r w:rsidR="00465640" w:rsidRPr="009F4A83">
        <w:rPr>
          <w:b/>
          <w:bCs/>
          <w:i/>
        </w:rPr>
        <w:t xml:space="preserve"> e nuova percezione della città</w:t>
      </w:r>
      <w:r w:rsidRPr="009F4A83">
        <w:rPr>
          <w:b/>
          <w:bCs/>
          <w:i/>
        </w:rPr>
        <w:t>: studenti, turisti, migranti</w:t>
      </w:r>
    </w:p>
    <w:p w:rsidR="008E08C8" w:rsidRDefault="008E08C8">
      <w:pPr>
        <w:spacing w:line="276" w:lineRule="auto"/>
        <w:jc w:val="both"/>
      </w:pPr>
    </w:p>
    <w:p w:rsidR="008E08C8" w:rsidRDefault="008E08C8">
      <w:pPr>
        <w:spacing w:line="276" w:lineRule="auto"/>
        <w:jc w:val="both"/>
      </w:pPr>
    </w:p>
    <w:p w:rsidR="008E08C8" w:rsidRDefault="00392C5B">
      <w:pPr>
        <w:spacing w:line="276" w:lineRule="auto"/>
        <w:jc w:val="both"/>
      </w:pPr>
      <w:r>
        <w:t>A caratterizzare l’urbanità, è da sempre la mescolanza di profili e dimensioni socioculturali differenti, a volte nelle forme della città porosa e a volte in quelle meno interattive del funzionalismo, dove le differenze risultano eventualmente giustapposte</w:t>
      </w:r>
      <w:r>
        <w:t xml:space="preserve"> e recintate. In ogni caso, tra la morfologia urbana e la cittadinanza si stabiliscono rapporti biunivoci e dinamici che plasmano l’una e l’altra, a partire dalle correlazioni tra l’ambiente fisico e l’esperienza estetica dei luoghi. L’esperienza della cit</w:t>
      </w:r>
      <w:r>
        <w:t>tà ne informa la trasformazione, in altri termini, proprio come le forme in cui si determina la trasformazione non possono che favorire nuove esperienze. La sfera estetico-percettiva opera dunque in questa dialettica nella duplice veste del produttore e de</w:t>
      </w:r>
      <w:r>
        <w:t xml:space="preserve">l prodotto dello spazio, un momento prima che le tendenze di questo rapporto triangolare tra i muri e la loro negoziazione sociale – direbbe </w:t>
      </w:r>
      <w:proofErr w:type="spellStart"/>
      <w:r>
        <w:t>Sigfried</w:t>
      </w:r>
      <w:proofErr w:type="spellEnd"/>
      <w:r>
        <w:t xml:space="preserve"> </w:t>
      </w:r>
      <w:proofErr w:type="spellStart"/>
      <w:r>
        <w:t>Kracauer</w:t>
      </w:r>
      <w:proofErr w:type="spellEnd"/>
      <w:r>
        <w:t xml:space="preserve"> – affiorino alla coscienza. In città, quindi, sta sempre accadendo qualcosa che rinvia alla prece</w:t>
      </w:r>
      <w:r>
        <w:t xml:space="preserve">denza dei corpi e alla loro capacità di conoscere e orientare tacitamente quanto accade sulla frontiera della trasformazione urbana. </w:t>
      </w:r>
    </w:p>
    <w:p w:rsidR="008E08C8" w:rsidRDefault="008E08C8">
      <w:pPr>
        <w:spacing w:line="276" w:lineRule="auto"/>
        <w:jc w:val="both"/>
      </w:pPr>
    </w:p>
    <w:p w:rsidR="008E08C8" w:rsidRDefault="00392C5B">
      <w:pPr>
        <w:spacing w:line="276" w:lineRule="auto"/>
        <w:jc w:val="both"/>
      </w:pPr>
      <w:r>
        <w:t>Non si tratta di conoscenze e di orientamenti neutrali, però, secondo una concezione del corpo derivata da un’oggettivazi</w:t>
      </w:r>
      <w:r>
        <w:t xml:space="preserve">one feticistica o scientista della natura, bensì di schermi corporei che hanno già da sempre integrato il condizionamento storico e aprioristico della loro distribuzione all’interno delle gerarchie di classe, di genere e della razza. La città tendenziale, </w:t>
      </w:r>
      <w:r>
        <w:t>per dir così, andrà quindi esplorata in riferimento al protagonismo dei nuovi profili sociali e corporei che modificano in modo spurio lo statuto della cittadinanza, a partire dall’esperienza centrale dei turisti e dei migranti nella riorganizzazione dello</w:t>
      </w:r>
      <w:r>
        <w:t xml:space="preserve"> spazio e del progetto urbano. </w:t>
      </w:r>
    </w:p>
    <w:p w:rsidR="008E08C8" w:rsidRDefault="008E08C8">
      <w:pPr>
        <w:spacing w:line="276" w:lineRule="auto"/>
        <w:jc w:val="both"/>
      </w:pPr>
    </w:p>
    <w:p w:rsidR="008E08C8" w:rsidRDefault="00392C5B">
      <w:pPr>
        <w:spacing w:line="276" w:lineRule="auto"/>
        <w:jc w:val="both"/>
      </w:pPr>
      <w:r>
        <w:t>Alle politiche per il turismo e alle politiche per la sicurezza, infatti, corrispondono forme attive e preliminari di percezione che ipotecano e al tempo stesso rendono aleatoria (proprio per la dimensione tacita che si dic</w:t>
      </w:r>
      <w:r>
        <w:t xml:space="preserve">eva) la metamorfosi dell’urbanità ed è in questa stessa cornice che un terzo attore, lo studente, si direbbe imprigionato tra la tendenza ereditaria alla bohème e gli urti della </w:t>
      </w:r>
      <w:proofErr w:type="spellStart"/>
      <w:r>
        <w:t>gentrificazione</w:t>
      </w:r>
      <w:proofErr w:type="spellEnd"/>
      <w:r>
        <w:t>. Ma come sta emergendo nel contesto della pandemia e del dibat</w:t>
      </w:r>
      <w:r>
        <w:t xml:space="preserve">tito relativo alla didattica </w:t>
      </w:r>
      <w:proofErr w:type="spellStart"/>
      <w:r>
        <w:t>blended</w:t>
      </w:r>
      <w:proofErr w:type="spellEnd"/>
      <w:r>
        <w:t>, a entrare in gioco e a rappresentare un ulteriore elemento di negoziazione sono sempre di più le piattaforme, che anche nel caso dei migranti (si pensi all’importanza dell’</w:t>
      </w:r>
      <w:proofErr w:type="spellStart"/>
      <w:r>
        <w:t>Eurodac</w:t>
      </w:r>
      <w:proofErr w:type="spellEnd"/>
      <w:r>
        <w:t>) e dei turisti (</w:t>
      </w:r>
      <w:proofErr w:type="spellStart"/>
      <w:r>
        <w:t>AirBnb</w:t>
      </w:r>
      <w:proofErr w:type="spellEnd"/>
      <w:r>
        <w:t>, solo per citar</w:t>
      </w:r>
      <w:r>
        <w:t xml:space="preserve">e un esempio) impongono di inquadrare il problema delle nuove forme di cittadinanza e del loro rilievo estetico nella prospettiva dell’ecologia politica e della riflessione </w:t>
      </w:r>
      <w:r w:rsidR="00465640">
        <w:t>filosofico-antropologica sulle trasformazioni degli stessi apparati percettivi e somatici in relazione alla ibridazione crescente con i dispositivi digitali-macchinici, governati dagli algoritmi e dall’intelligenza artificiale</w:t>
      </w:r>
      <w:r>
        <w:t xml:space="preserve">. </w:t>
      </w:r>
    </w:p>
    <w:p w:rsidR="009F4A83" w:rsidRDefault="009F4A83">
      <w:pPr>
        <w:spacing w:line="276" w:lineRule="auto"/>
        <w:jc w:val="both"/>
      </w:pPr>
    </w:p>
    <w:p w:rsidR="009F4A83" w:rsidRDefault="009F4A83">
      <w:pPr>
        <w:spacing w:line="276" w:lineRule="auto"/>
        <w:jc w:val="both"/>
        <w:rPr>
          <w:b/>
        </w:rPr>
      </w:pPr>
      <w:r w:rsidRPr="009F4A83">
        <w:rPr>
          <w:b/>
          <w:i/>
        </w:rPr>
        <w:t>Piano delle attività</w:t>
      </w:r>
    </w:p>
    <w:p w:rsidR="009F4A83" w:rsidRDefault="009F4A83">
      <w:pPr>
        <w:spacing w:line="276" w:lineRule="auto"/>
        <w:jc w:val="both"/>
        <w:rPr>
          <w:b/>
        </w:rPr>
      </w:pPr>
    </w:p>
    <w:p w:rsidR="009F4A83" w:rsidRDefault="009F4A83">
      <w:pPr>
        <w:spacing w:line="276" w:lineRule="auto"/>
        <w:jc w:val="both"/>
      </w:pPr>
      <w:r w:rsidRPr="009F4A83">
        <w:t xml:space="preserve">Il </w:t>
      </w:r>
      <w:r>
        <w:t xml:space="preserve">piano delle attività verrà diviso in tre fasi: </w:t>
      </w:r>
    </w:p>
    <w:p w:rsidR="009F4A83" w:rsidRDefault="009F4A83">
      <w:pPr>
        <w:spacing w:line="276" w:lineRule="auto"/>
        <w:jc w:val="both"/>
      </w:pPr>
      <w:r>
        <w:t>1. Raccolta e studi della letteratura sul tema e delle ricerche anche in ambito locale ed empirico già disponibili sui diversi aspetti della ricerca (3 mesi);</w:t>
      </w:r>
    </w:p>
    <w:p w:rsidR="009F4A83" w:rsidRDefault="009F4A83">
      <w:pPr>
        <w:spacing w:line="276" w:lineRule="auto"/>
        <w:jc w:val="both"/>
      </w:pPr>
      <w:r>
        <w:t>2. Discussione e scambio con specialisti di scienze sociali, di filosofia ed estetica e di trasformazioni urbane italiani e stranieri allo scopo di individuare una quadro originale ed aggiornato della situazione relativa al rapporto con la realtà urbana di studenti, migranti e turisti, con particolare riferimento ai nuovi assetti indotti dalla pandemia (3 mesi);</w:t>
      </w:r>
    </w:p>
    <w:p w:rsidR="009F4A83" w:rsidRPr="009F4A83" w:rsidRDefault="009F4A83">
      <w:pPr>
        <w:spacing w:line="276" w:lineRule="auto"/>
        <w:jc w:val="both"/>
      </w:pPr>
      <w:r>
        <w:lastRenderedPageBreak/>
        <w:t>3. Stesura del rapporto finale di ricerca e confronto con i vari interessati possibili interessati alle sue conclusioni in ambito locale, nazionale e internazionale, la cui individuazione fa parte dei compiti della ricerca stessa</w:t>
      </w:r>
      <w:bookmarkStart w:id="0" w:name="_GoBack"/>
      <w:bookmarkEnd w:id="0"/>
      <w:r>
        <w:t xml:space="preserve"> (decisori, studiosi, istituzioni, organizzazioni studentesche e di migranti, operatori dei servizi sociali ecc.) (6 mesi).</w:t>
      </w:r>
    </w:p>
    <w:sectPr w:rsidR="009F4A83" w:rsidRPr="009F4A8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C8"/>
    <w:rsid w:val="00392C5B"/>
    <w:rsid w:val="00465640"/>
    <w:rsid w:val="008E08C8"/>
    <w:rsid w:val="009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0930B-A048-4624-8F16-8F1F64EC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Microsoft;Andrea Borsari</dc:creator>
  <dc:description/>
  <cp:lastModifiedBy>Account Microsoft</cp:lastModifiedBy>
  <cp:revision>3</cp:revision>
  <dcterms:created xsi:type="dcterms:W3CDTF">2020-07-17T15:23:00Z</dcterms:created>
  <dcterms:modified xsi:type="dcterms:W3CDTF">2020-07-17T15:24:00Z</dcterms:modified>
  <dc:language>it-IT</dc:language>
</cp:coreProperties>
</file>